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6D" w:rsidRDefault="009D4E6D" w:rsidP="009D4E6D">
      <w:pPr>
        <w:pStyle w:val="Title"/>
      </w:pPr>
      <w:bookmarkStart w:id="0" w:name="_GoBack"/>
      <w:bookmarkEnd w:id="0"/>
      <w:r>
        <w:t>LAKE SHORE CENTRAL SCHOOLS 4-DOMAIN SELF REFLECTION</w:t>
      </w:r>
    </w:p>
    <w:tbl>
      <w:tblPr>
        <w:tblW w:w="10261" w:type="dxa"/>
        <w:tblInd w:w="-432" w:type="dxa"/>
        <w:tblLook w:val="0000" w:firstRow="0" w:lastRow="0" w:firstColumn="0" w:lastColumn="0" w:noHBand="0" w:noVBand="0"/>
      </w:tblPr>
      <w:tblGrid>
        <w:gridCol w:w="816"/>
        <w:gridCol w:w="1932"/>
        <w:gridCol w:w="1106"/>
        <w:gridCol w:w="1276"/>
        <w:gridCol w:w="2015"/>
        <w:gridCol w:w="2755"/>
        <w:gridCol w:w="361"/>
      </w:tblGrid>
      <w:tr w:rsidR="009D4E6D" w:rsidTr="008A03A2">
        <w:trPr>
          <w:trHeight w:val="193"/>
        </w:trPr>
        <w:tc>
          <w:tcPr>
            <w:tcW w:w="3854" w:type="dxa"/>
            <w:gridSpan w:val="3"/>
          </w:tcPr>
          <w:p w:rsidR="009D4E6D" w:rsidRDefault="009D4E6D" w:rsidP="008A03A2">
            <w:pPr>
              <w:pStyle w:val="Subtitle"/>
            </w:pPr>
            <w:r>
              <w:t>NAME:</w:t>
            </w:r>
          </w:p>
        </w:tc>
        <w:tc>
          <w:tcPr>
            <w:tcW w:w="6046" w:type="dxa"/>
            <w:gridSpan w:val="3"/>
          </w:tcPr>
          <w:p w:rsidR="009D4E6D" w:rsidRDefault="009D4E6D" w:rsidP="008A03A2">
            <w:pPr>
              <w:pStyle w:val="Subtitle"/>
            </w:pPr>
            <w:r>
              <w:t>DATE:</w:t>
            </w:r>
          </w:p>
        </w:tc>
        <w:tc>
          <w:tcPr>
            <w:tcW w:w="361" w:type="dxa"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trHeight w:val="69"/>
        </w:trPr>
        <w:tc>
          <w:tcPr>
            <w:tcW w:w="3854" w:type="dxa"/>
            <w:gridSpan w:val="3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6046" w:type="dxa"/>
            <w:gridSpan w:val="3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trHeight w:val="6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6D" w:rsidRDefault="009D4E6D" w:rsidP="008A03A2">
            <w:pPr>
              <w:pStyle w:val="Subtitle"/>
              <w:jc w:val="center"/>
            </w:pPr>
            <w:r>
              <w:t>KEY: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E6D" w:rsidRDefault="009D4E6D" w:rsidP="008A03A2">
            <w:pPr>
              <w:pStyle w:val="Subtitle"/>
              <w:jc w:val="center"/>
            </w:pPr>
            <w:r>
              <w:t>H-Highly Effective (5)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E6D" w:rsidRDefault="009D4E6D" w:rsidP="008A03A2">
            <w:pPr>
              <w:pStyle w:val="Subtitle"/>
              <w:jc w:val="center"/>
            </w:pPr>
            <w:r>
              <w:t>E-Effective (4)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E6D" w:rsidRDefault="009D4E6D" w:rsidP="008A03A2">
            <w:pPr>
              <w:pStyle w:val="Subtitle"/>
              <w:jc w:val="center"/>
            </w:pPr>
            <w:r>
              <w:t>D-Developing (2)</w:t>
            </w:r>
          </w:p>
          <w:p w:rsidR="009D4E6D" w:rsidRDefault="009D4E6D" w:rsidP="008A03A2">
            <w:pPr>
              <w:pStyle w:val="Subtitle"/>
              <w:jc w:val="center"/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E6D" w:rsidRDefault="009D4E6D" w:rsidP="008A03A2">
            <w:pPr>
              <w:pStyle w:val="Subtitle"/>
              <w:jc w:val="center"/>
            </w:pPr>
            <w:r>
              <w:t>I-Ineffective (0)</w:t>
            </w:r>
          </w:p>
          <w:p w:rsidR="009D4E6D" w:rsidRDefault="009D4E6D" w:rsidP="008A03A2">
            <w:pPr>
              <w:pStyle w:val="Subtitle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6D" w:rsidRDefault="009D4E6D" w:rsidP="008A03A2">
            <w:pPr>
              <w:pStyle w:val="Subtitle"/>
              <w:jc w:val="center"/>
              <w:rPr>
                <w:color w:val="FF0000"/>
              </w:rPr>
            </w:pPr>
          </w:p>
        </w:tc>
      </w:tr>
    </w:tbl>
    <w:p w:rsidR="009D4E6D" w:rsidRDefault="009D4E6D" w:rsidP="009D4E6D">
      <w:pPr>
        <w:pStyle w:val="Subtitle"/>
      </w:pPr>
      <w:r>
        <w:t xml:space="preserve"> </w:t>
      </w:r>
    </w:p>
    <w:tbl>
      <w:tblPr>
        <w:tblW w:w="102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447"/>
        <w:gridCol w:w="418"/>
        <w:gridCol w:w="432"/>
        <w:gridCol w:w="344"/>
        <w:gridCol w:w="256"/>
        <w:gridCol w:w="3878"/>
      </w:tblGrid>
      <w:tr w:rsidR="009D4E6D" w:rsidTr="008A03A2">
        <w:trPr>
          <w:cantSplit/>
          <w:trHeight w:val="287"/>
        </w:trPr>
        <w:tc>
          <w:tcPr>
            <w:tcW w:w="10268" w:type="dxa"/>
            <w:gridSpan w:val="7"/>
            <w:shd w:val="clear" w:color="auto" w:fill="D9D9D9"/>
          </w:tcPr>
          <w:p w:rsidR="009D4E6D" w:rsidRDefault="009D4E6D" w:rsidP="008A03A2">
            <w:pPr>
              <w:pStyle w:val="Subtitle"/>
            </w:pPr>
            <w:r>
              <w:t xml:space="preserve">1. PLANNING AND PREPARATION </w:t>
            </w: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  <w:r>
              <w:t>H</w:t>
            </w: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  <w:r>
              <w:t>E</w:t>
            </w: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  <w:r>
              <w:t>D</w:t>
            </w: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  <w:r>
              <w:t>I</w:t>
            </w:r>
          </w:p>
        </w:tc>
        <w:tc>
          <w:tcPr>
            <w:tcW w:w="256" w:type="dxa"/>
            <w:vMerge w:val="restart"/>
          </w:tcPr>
          <w:p w:rsidR="009D4E6D" w:rsidRDefault="009D4E6D" w:rsidP="008A03A2">
            <w:pPr>
              <w:pStyle w:val="Subtitle"/>
              <w:jc w:val="center"/>
            </w:pPr>
          </w:p>
        </w:tc>
        <w:tc>
          <w:tcPr>
            <w:tcW w:w="3878" w:type="dxa"/>
          </w:tcPr>
          <w:p w:rsidR="009D4E6D" w:rsidRDefault="009D4E6D" w:rsidP="008A03A2">
            <w:pPr>
              <w:pStyle w:val="Subtitle"/>
              <w:jc w:val="center"/>
            </w:pPr>
            <w:r>
              <w:t>Comments</w:t>
            </w:r>
          </w:p>
        </w:tc>
      </w:tr>
      <w:tr w:rsidR="009D4E6D" w:rsidTr="008A03A2">
        <w:trPr>
          <w:cantSplit/>
          <w:trHeight w:val="378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a. Demonstrates knowledge of the content and content-related pedagogy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  <w:rPr>
                <w:color w:val="FF0000"/>
              </w:rPr>
            </w:pPr>
          </w:p>
        </w:tc>
        <w:tc>
          <w:tcPr>
            <w:tcW w:w="3878" w:type="dxa"/>
            <w:vMerge w:val="restart"/>
          </w:tcPr>
          <w:p w:rsidR="009D4E6D" w:rsidRDefault="009D4E6D" w:rsidP="008A03A2">
            <w:pPr>
              <w:pStyle w:val="Subtitle"/>
              <w:jc w:val="center"/>
            </w:pPr>
          </w:p>
        </w:tc>
      </w:tr>
      <w:tr w:rsidR="009D4E6D" w:rsidTr="008A03A2">
        <w:trPr>
          <w:cantSplit/>
          <w:trHeight w:val="220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b. Demonstrates knowledge of students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  <w:rPr>
                <w:color w:val="FF0000"/>
              </w:rPr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378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 Setting instructional outcomes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  <w:rPr>
                <w:color w:val="FF0000"/>
              </w:rPr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9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d. Demonstrating knowledge of resources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  <w:rPr>
                <w:color w:val="FF0000"/>
              </w:rPr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67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 Designing coherent instruction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  <w:rPr>
                <w:color w:val="FF0000"/>
              </w:rPr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95"/>
        </w:trPr>
        <w:tc>
          <w:tcPr>
            <w:tcW w:w="4493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f. Designing student assessments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  <w:rPr>
                <w:color w:val="FF0000"/>
              </w:rPr>
            </w:pPr>
          </w:p>
        </w:tc>
        <w:tc>
          <w:tcPr>
            <w:tcW w:w="3878" w:type="dxa"/>
            <w:vMerge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95"/>
        </w:trPr>
        <w:tc>
          <w:tcPr>
            <w:tcW w:w="10268" w:type="dxa"/>
            <w:gridSpan w:val="7"/>
            <w:tcBorders>
              <w:left w:val="nil"/>
              <w:right w:val="nil"/>
            </w:tcBorders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251"/>
        </w:trPr>
        <w:tc>
          <w:tcPr>
            <w:tcW w:w="10268" w:type="dxa"/>
            <w:gridSpan w:val="7"/>
            <w:shd w:val="clear" w:color="auto" w:fill="D9D9D9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t>2. THE CLASSROOM ENVIRONMENT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9D4E6D" w:rsidTr="008A03A2">
        <w:trPr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  <w:r>
              <w:t>H</w:t>
            </w: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  <w:r>
              <w:t>E</w:t>
            </w: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  <w:r>
              <w:t>D</w:t>
            </w: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  <w:r>
              <w:t>I</w:t>
            </w:r>
          </w:p>
        </w:tc>
        <w:tc>
          <w:tcPr>
            <w:tcW w:w="256" w:type="dxa"/>
            <w:vMerge w:val="restart"/>
          </w:tcPr>
          <w:p w:rsidR="009D4E6D" w:rsidRDefault="009D4E6D" w:rsidP="008A03A2">
            <w:pPr>
              <w:pStyle w:val="Subtitle"/>
              <w:jc w:val="center"/>
              <w:rPr>
                <w:color w:val="FF0000"/>
              </w:rPr>
            </w:pPr>
          </w:p>
        </w:tc>
        <w:tc>
          <w:tcPr>
            <w:tcW w:w="3878" w:type="dxa"/>
          </w:tcPr>
          <w:p w:rsidR="009D4E6D" w:rsidRDefault="009D4E6D" w:rsidP="008A03A2">
            <w:pPr>
              <w:pStyle w:val="Subtitle"/>
              <w:jc w:val="center"/>
            </w:pPr>
            <w:r>
              <w:t>Comments</w:t>
            </w:r>
          </w:p>
        </w:tc>
      </w:tr>
      <w:tr w:rsidR="009D4E6D" w:rsidTr="008A03A2">
        <w:trPr>
          <w:cantSplit/>
          <w:trHeight w:val="378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a. Creating an environment of respect and rapport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 w:val="restart"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67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b. Establishing a culture for learning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 Managing classroom procedures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67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d. Managing student behavior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 Organizing physical space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10268" w:type="dxa"/>
            <w:gridSpan w:val="7"/>
            <w:tcBorders>
              <w:left w:val="nil"/>
              <w:right w:val="nil"/>
            </w:tcBorders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10268" w:type="dxa"/>
            <w:gridSpan w:val="7"/>
            <w:shd w:val="clear" w:color="auto" w:fill="D9D9D9"/>
          </w:tcPr>
          <w:p w:rsidR="009D4E6D" w:rsidRDefault="009D4E6D" w:rsidP="008A03A2">
            <w:pPr>
              <w:pStyle w:val="Subtitle"/>
            </w:pPr>
            <w:r>
              <w:t xml:space="preserve">3. INSTRUCTION </w:t>
            </w: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  <w:r>
              <w:t>H</w:t>
            </w: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  <w:r>
              <w:t>E</w:t>
            </w: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  <w:r>
              <w:t>D</w:t>
            </w: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  <w:r>
              <w:t>I</w:t>
            </w:r>
          </w:p>
        </w:tc>
        <w:tc>
          <w:tcPr>
            <w:tcW w:w="256" w:type="dxa"/>
            <w:vMerge w:val="restart"/>
          </w:tcPr>
          <w:p w:rsidR="009D4E6D" w:rsidRDefault="009D4E6D" w:rsidP="008A03A2">
            <w:pPr>
              <w:pStyle w:val="Subtitle"/>
              <w:jc w:val="center"/>
              <w:rPr>
                <w:color w:val="FF0000"/>
              </w:rPr>
            </w:pPr>
          </w:p>
        </w:tc>
        <w:tc>
          <w:tcPr>
            <w:tcW w:w="3878" w:type="dxa"/>
          </w:tcPr>
          <w:p w:rsidR="009D4E6D" w:rsidRDefault="009D4E6D" w:rsidP="008A03A2">
            <w:pPr>
              <w:pStyle w:val="Subtitle"/>
              <w:jc w:val="center"/>
            </w:pPr>
            <w:r>
              <w:t>Comments</w:t>
            </w: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a. Communicating clearly and accurately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 w:val="restart"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b. Using questioning and discussion techniques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 Engaging students in learning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d. Using assessment in instruction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e. Demonstrating flexibility and responsiveness 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  <w:tcBorders>
              <w:bottom w:val="single" w:sz="4" w:space="0" w:color="auto"/>
            </w:tcBorders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10268" w:type="dxa"/>
            <w:gridSpan w:val="7"/>
            <w:tcBorders>
              <w:left w:val="nil"/>
              <w:right w:val="nil"/>
            </w:tcBorders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10268" w:type="dxa"/>
            <w:gridSpan w:val="7"/>
            <w:shd w:val="clear" w:color="auto" w:fill="D9D9D9"/>
          </w:tcPr>
          <w:p w:rsidR="009D4E6D" w:rsidRDefault="009D4E6D" w:rsidP="008A03A2">
            <w:pPr>
              <w:pStyle w:val="Subtitle"/>
            </w:pPr>
            <w:r>
              <w:t xml:space="preserve">4. PROFESSIONAL RESPONSIBILITIES </w:t>
            </w: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Pr="00707835" w:rsidRDefault="009D4E6D" w:rsidP="008A03A2">
            <w:pPr>
              <w:pStyle w:val="Subtitle"/>
              <w:rPr>
                <w:b w:val="0"/>
              </w:rPr>
            </w:pPr>
            <w:r w:rsidRPr="00707835">
              <w:rPr>
                <w:b w:val="0"/>
              </w:rPr>
              <w:t xml:space="preserve">a. </w:t>
            </w:r>
            <w:r>
              <w:rPr>
                <w:b w:val="0"/>
              </w:rPr>
              <w:t>R</w:t>
            </w:r>
            <w:r w:rsidRPr="00707835">
              <w:rPr>
                <w:b w:val="0"/>
              </w:rPr>
              <w:t xml:space="preserve">eflecting on teaching 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  <w:r>
              <w:t>H</w:t>
            </w: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  <w:r>
              <w:t>E</w:t>
            </w: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  <w:r>
              <w:t>D</w:t>
            </w: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  <w:r>
              <w:t>I</w:t>
            </w:r>
          </w:p>
        </w:tc>
        <w:tc>
          <w:tcPr>
            <w:tcW w:w="256" w:type="dxa"/>
            <w:vMerge w:val="restart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</w:tcPr>
          <w:p w:rsidR="009D4E6D" w:rsidRDefault="009D4E6D" w:rsidP="008A03A2">
            <w:pPr>
              <w:pStyle w:val="Subtitle"/>
              <w:jc w:val="center"/>
            </w:pPr>
            <w:r>
              <w:t>Comments</w:t>
            </w: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Pr="00707835" w:rsidRDefault="009D4E6D" w:rsidP="008A03A2">
            <w:pPr>
              <w:pStyle w:val="Subtitle"/>
              <w:rPr>
                <w:b w:val="0"/>
              </w:rPr>
            </w:pPr>
            <w:r w:rsidRPr="00707835">
              <w:rPr>
                <w:b w:val="0"/>
              </w:rPr>
              <w:t xml:space="preserve">b. </w:t>
            </w:r>
            <w:r>
              <w:rPr>
                <w:b w:val="0"/>
              </w:rPr>
              <w:t>M</w:t>
            </w:r>
            <w:r w:rsidRPr="00707835">
              <w:rPr>
                <w:b w:val="0"/>
              </w:rPr>
              <w:t>aintain</w:t>
            </w:r>
            <w:r>
              <w:rPr>
                <w:b w:val="0"/>
              </w:rPr>
              <w:t>ing</w:t>
            </w:r>
            <w:r w:rsidRPr="00707835">
              <w:rPr>
                <w:b w:val="0"/>
              </w:rPr>
              <w:t xml:space="preserve"> accurate records with student contribution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 w:val="restart"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Pr="00707835" w:rsidRDefault="009D4E6D" w:rsidP="008A03A2">
            <w:pPr>
              <w:pStyle w:val="Subtitle"/>
              <w:rPr>
                <w:b w:val="0"/>
              </w:rPr>
            </w:pPr>
            <w:r w:rsidRPr="00707835">
              <w:rPr>
                <w:b w:val="0"/>
              </w:rPr>
              <w:t xml:space="preserve">c. </w:t>
            </w:r>
            <w:r>
              <w:rPr>
                <w:b w:val="0"/>
              </w:rPr>
              <w:t>C</w:t>
            </w:r>
            <w:r w:rsidRPr="00707835">
              <w:rPr>
                <w:b w:val="0"/>
              </w:rPr>
              <w:t>ommunicating with families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Pr="00707835" w:rsidRDefault="009D4E6D" w:rsidP="008A03A2">
            <w:pPr>
              <w:pStyle w:val="Subtitle"/>
              <w:rPr>
                <w:b w:val="0"/>
              </w:rPr>
            </w:pPr>
            <w:r w:rsidRPr="00707835">
              <w:rPr>
                <w:b w:val="0"/>
              </w:rPr>
              <w:t xml:space="preserve">d. </w:t>
            </w:r>
            <w:r>
              <w:rPr>
                <w:b w:val="0"/>
              </w:rPr>
              <w:t>P</w:t>
            </w:r>
            <w:r w:rsidRPr="00707835">
              <w:rPr>
                <w:b w:val="0"/>
              </w:rPr>
              <w:t xml:space="preserve">articipating in professional community 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Pr="00707835" w:rsidRDefault="009D4E6D" w:rsidP="008A03A2">
            <w:pPr>
              <w:pStyle w:val="Subtitle"/>
              <w:rPr>
                <w:b w:val="0"/>
              </w:rPr>
            </w:pPr>
            <w:r w:rsidRPr="00707835">
              <w:rPr>
                <w:b w:val="0"/>
              </w:rPr>
              <w:t xml:space="preserve">e. </w:t>
            </w:r>
            <w:r>
              <w:rPr>
                <w:b w:val="0"/>
              </w:rPr>
              <w:t xml:space="preserve">Growing and developing professionally 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  <w:tr w:rsidR="009D4E6D" w:rsidTr="008A03A2">
        <w:trPr>
          <w:cantSplit/>
          <w:trHeight w:val="189"/>
        </w:trPr>
        <w:tc>
          <w:tcPr>
            <w:tcW w:w="4493" w:type="dxa"/>
          </w:tcPr>
          <w:p w:rsidR="009D4E6D" w:rsidRPr="00707835" w:rsidRDefault="009D4E6D" w:rsidP="008A03A2">
            <w:pPr>
              <w:pStyle w:val="Subtitle"/>
              <w:rPr>
                <w:b w:val="0"/>
              </w:rPr>
            </w:pPr>
            <w:r w:rsidRPr="00707835">
              <w:rPr>
                <w:b w:val="0"/>
              </w:rPr>
              <w:t xml:space="preserve">f. </w:t>
            </w:r>
            <w:r>
              <w:rPr>
                <w:b w:val="0"/>
              </w:rPr>
              <w:t>S</w:t>
            </w:r>
            <w:r w:rsidRPr="00707835">
              <w:rPr>
                <w:b w:val="0"/>
              </w:rPr>
              <w:t>howing professionalis</w:t>
            </w:r>
            <w:r>
              <w:rPr>
                <w:b w:val="0"/>
              </w:rPr>
              <w:t xml:space="preserve">m </w:t>
            </w:r>
          </w:p>
        </w:tc>
        <w:tc>
          <w:tcPr>
            <w:tcW w:w="447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18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432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344" w:type="dxa"/>
          </w:tcPr>
          <w:p w:rsidR="009D4E6D" w:rsidRDefault="009D4E6D" w:rsidP="008A03A2">
            <w:pPr>
              <w:pStyle w:val="Subtitle"/>
            </w:pPr>
          </w:p>
        </w:tc>
        <w:tc>
          <w:tcPr>
            <w:tcW w:w="256" w:type="dxa"/>
            <w:vMerge/>
          </w:tcPr>
          <w:p w:rsidR="009D4E6D" w:rsidRDefault="009D4E6D" w:rsidP="008A03A2">
            <w:pPr>
              <w:pStyle w:val="Subtitle"/>
            </w:pPr>
          </w:p>
        </w:tc>
        <w:tc>
          <w:tcPr>
            <w:tcW w:w="3878" w:type="dxa"/>
            <w:vMerge/>
          </w:tcPr>
          <w:p w:rsidR="009D4E6D" w:rsidRDefault="009D4E6D" w:rsidP="008A03A2">
            <w:pPr>
              <w:pStyle w:val="Subtitle"/>
            </w:pPr>
          </w:p>
        </w:tc>
      </w:tr>
    </w:tbl>
    <w:p w:rsidR="0032146A" w:rsidRDefault="0032146A"/>
    <w:sectPr w:rsidR="0032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6D"/>
    <w:rsid w:val="00052F16"/>
    <w:rsid w:val="0032146A"/>
    <w:rsid w:val="008C6A0B"/>
    <w:rsid w:val="009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6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4E6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9D4E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D4E6D"/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E6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6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4E6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9D4E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D4E6D"/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E6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2016-10-31T18:16:00Z</dcterms:created>
  <dcterms:modified xsi:type="dcterms:W3CDTF">2016-10-31T18:16:00Z</dcterms:modified>
</cp:coreProperties>
</file>